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>Описание на предмета на обществената поръчка</w:t>
      </w:r>
      <w:r w:rsidRPr="002170AC">
        <w:rPr>
          <w:rFonts w:eastAsia="Times New Roman" w:cs="Times New Roman"/>
          <w:b/>
          <w:szCs w:val="24"/>
          <w:lang w:val="ru-RU" w:eastAsia="bg-BG"/>
        </w:rPr>
        <w:t xml:space="preserve"> </w:t>
      </w:r>
      <w:r w:rsidRPr="002170AC">
        <w:rPr>
          <w:rFonts w:eastAsia="Times New Roman" w:cs="Times New Roman"/>
          <w:b/>
          <w:szCs w:val="24"/>
          <w:lang w:eastAsia="bg-BG"/>
        </w:rPr>
        <w:t>и изисквания за изпълнение на поръчката/ТЕХНИЧЕСКА СПЕЦИФИКАЦИЯ</w:t>
      </w:r>
      <w:r w:rsidRPr="002170AC">
        <w:rPr>
          <w:rFonts w:eastAsia="Times New Roman" w:cs="Times New Roman"/>
          <w:szCs w:val="24"/>
          <w:lang w:eastAsia="bg-BG"/>
        </w:rPr>
        <w:t>:</w:t>
      </w:r>
      <w:r w:rsidRPr="002170AC">
        <w:rPr>
          <w:rFonts w:eastAsia="Times New Roman" w:cs="Times New Roman"/>
          <w:szCs w:val="24"/>
          <w:lang w:val="en-AU" w:eastAsia="bg-BG"/>
        </w:rPr>
        <w:t xml:space="preserve"> </w:t>
      </w:r>
      <w:r w:rsidRPr="002170AC">
        <w:rPr>
          <w:rFonts w:eastAsia="Times New Roman" w:cs="Times New Roman"/>
          <w:szCs w:val="24"/>
          <w:lang w:eastAsia="bg-BG"/>
        </w:rPr>
        <w:t xml:space="preserve">Във връзка с изискванията на чл. 8, ал. 6 и § 4 от ПЗР на </w:t>
      </w:r>
      <w:r w:rsidRPr="002170AC">
        <w:rPr>
          <w:rFonts w:eastAsia="Times New Roman" w:cs="Times New Roman"/>
          <w:i/>
          <w:szCs w:val="24"/>
          <w:lang w:eastAsia="bg-BG"/>
        </w:rPr>
        <w:t xml:space="preserve">Наредба за разделно събиране на </w:t>
      </w:r>
      <w:proofErr w:type="spellStart"/>
      <w:r w:rsidRPr="002170AC">
        <w:rPr>
          <w:rFonts w:eastAsia="Times New Roman" w:cs="Times New Roman"/>
          <w:i/>
          <w:szCs w:val="24"/>
          <w:lang w:eastAsia="bg-BG"/>
        </w:rPr>
        <w:t>биоотпадъците</w:t>
      </w:r>
      <w:proofErr w:type="spellEnd"/>
      <w:r w:rsidRPr="002170AC">
        <w:rPr>
          <w:rFonts w:eastAsia="Times New Roman" w:cs="Times New Roman"/>
          <w:i/>
          <w:szCs w:val="24"/>
          <w:lang w:eastAsia="bg-BG"/>
        </w:rPr>
        <w:t xml:space="preserve"> (приета с Постановление № 257 от 6 декември 2013 г.)</w:t>
      </w:r>
      <w:r w:rsidRPr="002170AC">
        <w:rPr>
          <w:rFonts w:eastAsia="Times New Roman" w:cs="Times New Roman"/>
          <w:szCs w:val="24"/>
          <w:lang w:eastAsia="bg-BG"/>
        </w:rPr>
        <w:t xml:space="preserve"> и с цел набиране на информация за изпълнение на целите по чл. 31, ал. 1 от Закона за управление на отпадъците, услугите, предметът на настоящата обществена поръчка, включва определяне на състава и количеството на битовите отпадъци, образувани на територията на Община Русе.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 xml:space="preserve">Морфологичният анализ следва да се извърши като се спазват изискванията на Методиката за определяне на морфологичния състав на битовите отпадъци, утвърдена със Заповед № РД-744/29.09.2012 г. на Министъра на околната среда и водите.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 xml:space="preserve">Методиката е достъпна на следния интернет адрес: </w:t>
      </w:r>
    </w:p>
    <w:p w:rsidR="002170AC" w:rsidRPr="002170AC" w:rsidRDefault="002170AC" w:rsidP="002170AC">
      <w:pPr>
        <w:jc w:val="both"/>
        <w:rPr>
          <w:rFonts w:eastAsia="Times New Roman" w:cs="Times New Roman"/>
          <w:szCs w:val="24"/>
          <w:lang w:eastAsia="bg-BG"/>
        </w:rPr>
      </w:pPr>
      <w:hyperlink r:id="rId5" w:history="1">
        <w:r w:rsidRPr="002170AC">
          <w:rPr>
            <w:rFonts w:eastAsia="Times New Roman" w:cs="Times New Roman"/>
            <w:b/>
            <w:color w:val="0000FF"/>
            <w:sz w:val="20"/>
            <w:szCs w:val="24"/>
            <w:u w:val="single"/>
            <w:lang w:eastAsia="bg-BG"/>
          </w:rPr>
          <w:t>http://www5.moew.government.bg/wp-content/uploads/file/Waste/Municipal_Waste/Metodika-2012.pdf</w:t>
        </w:r>
      </w:hyperlink>
    </w:p>
    <w:p w:rsidR="002170AC" w:rsidRPr="002170AC" w:rsidRDefault="002170AC" w:rsidP="002170AC">
      <w:pPr>
        <w:ind w:firstLine="708"/>
        <w:jc w:val="both"/>
        <w:rPr>
          <w:rFonts w:eastAsia="Times New Roman" w:cs="Times New Roman"/>
          <w:szCs w:val="24"/>
          <w:lang w:eastAsia="bg-BG"/>
        </w:rPr>
      </w:pPr>
    </w:p>
    <w:p w:rsidR="002170AC" w:rsidRPr="002170AC" w:rsidRDefault="002170AC" w:rsidP="002170AC">
      <w:pPr>
        <w:spacing w:after="120"/>
        <w:jc w:val="both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 xml:space="preserve">В рамките на поръчката, Изпълнителят ще трябва да изпълни следните дейности: </w:t>
      </w:r>
    </w:p>
    <w:p w:rsidR="002170AC" w:rsidRPr="002170AC" w:rsidRDefault="002170AC" w:rsidP="002170AC">
      <w:pPr>
        <w:spacing w:before="120" w:after="120"/>
        <w:ind w:right="-5"/>
        <w:jc w:val="both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>Дейност 1. Събиране и анализ на информация за количествата по отпадъчни потоци.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В рамките на дейността Изпълнителят следва да изготви и представи на Възложителя въпросници, с цел да набере информация като минимум за следните отпадъчни потоци:</w:t>
      </w:r>
    </w:p>
    <w:p w:rsidR="002170AC" w:rsidRPr="002170AC" w:rsidRDefault="002170AC" w:rsidP="002170A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Смесени битови отпадъци и приравнени към тях производствени отпадъци,</w:t>
      </w:r>
    </w:p>
    <w:p w:rsidR="002170AC" w:rsidRPr="002170AC" w:rsidRDefault="002170AC" w:rsidP="002170AC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Разделно събрани отпадъци </w:t>
      </w:r>
    </w:p>
    <w:p w:rsidR="002170AC" w:rsidRPr="002170AC" w:rsidRDefault="002170AC" w:rsidP="002170A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 Разделно събрани отпадъци от системите за разделно събиране, в т.ч.:</w:t>
      </w:r>
    </w:p>
    <w:p w:rsidR="002170AC" w:rsidRPr="002170AC" w:rsidRDefault="002170AC" w:rsidP="002170A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Количество разделно събрани отпадъци</w:t>
      </w:r>
    </w:p>
    <w:p w:rsidR="002170AC" w:rsidRPr="002170AC" w:rsidRDefault="002170AC" w:rsidP="002170A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Количества по следните отпадъчни потоци в т.ч.: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Хартия и картон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Метал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Пластмаса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Стъкло</w:t>
      </w:r>
    </w:p>
    <w:p w:rsidR="002170AC" w:rsidRPr="002170AC" w:rsidRDefault="002170AC" w:rsidP="002170AC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Количества предадени за депониране</w:t>
      </w:r>
    </w:p>
    <w:p w:rsidR="002170AC" w:rsidRPr="002170AC" w:rsidRDefault="002170AC" w:rsidP="002170A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 Отпадъчни материали, събрани от пунктовете за вторични суровини в т.ч.: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Хартия и картон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Метал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Пластмаса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Стъкло</w:t>
      </w:r>
    </w:p>
    <w:p w:rsidR="002170AC" w:rsidRPr="002170AC" w:rsidRDefault="002170AC" w:rsidP="002170A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 Отпадъчни материали, предадени от големи търговски вериги или други големи генератори извън описаните по-горе системи в т.ч.:</w:t>
      </w:r>
    </w:p>
    <w:p w:rsidR="002170AC" w:rsidRPr="002170AC" w:rsidRDefault="002170AC" w:rsidP="002170AC">
      <w:pPr>
        <w:widowControl w:val="0"/>
        <w:tabs>
          <w:tab w:val="left" w:pos="1276"/>
        </w:tabs>
        <w:autoSpaceDE w:val="0"/>
        <w:autoSpaceDN w:val="0"/>
        <w:adjustRightInd w:val="0"/>
        <w:ind w:left="108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-</w:t>
      </w:r>
      <w:r w:rsidRPr="002170AC">
        <w:rPr>
          <w:rFonts w:eastAsia="Times New Roman" w:cs="Times New Roman"/>
          <w:szCs w:val="24"/>
          <w:lang w:eastAsia="bg-BG"/>
        </w:rPr>
        <w:tab/>
        <w:t>Хартия и картон</w:t>
      </w:r>
    </w:p>
    <w:p w:rsidR="002170AC" w:rsidRPr="002170AC" w:rsidRDefault="002170AC" w:rsidP="002170AC">
      <w:pPr>
        <w:widowControl w:val="0"/>
        <w:tabs>
          <w:tab w:val="left" w:pos="1276"/>
        </w:tabs>
        <w:autoSpaceDE w:val="0"/>
        <w:autoSpaceDN w:val="0"/>
        <w:adjustRightInd w:val="0"/>
        <w:ind w:left="108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-</w:t>
      </w:r>
      <w:r w:rsidRPr="002170AC">
        <w:rPr>
          <w:rFonts w:eastAsia="Times New Roman" w:cs="Times New Roman"/>
          <w:szCs w:val="24"/>
          <w:lang w:eastAsia="bg-BG"/>
        </w:rPr>
        <w:tab/>
        <w:t>Метал</w:t>
      </w:r>
    </w:p>
    <w:p w:rsidR="002170AC" w:rsidRPr="002170AC" w:rsidRDefault="002170AC" w:rsidP="002170AC">
      <w:pPr>
        <w:widowControl w:val="0"/>
        <w:tabs>
          <w:tab w:val="left" w:pos="1276"/>
        </w:tabs>
        <w:autoSpaceDE w:val="0"/>
        <w:autoSpaceDN w:val="0"/>
        <w:adjustRightInd w:val="0"/>
        <w:ind w:left="108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-</w:t>
      </w:r>
      <w:r w:rsidRPr="002170AC">
        <w:rPr>
          <w:rFonts w:eastAsia="Times New Roman" w:cs="Times New Roman"/>
          <w:szCs w:val="24"/>
          <w:lang w:eastAsia="bg-BG"/>
        </w:rPr>
        <w:tab/>
        <w:t>Пластмаса</w:t>
      </w:r>
    </w:p>
    <w:p w:rsidR="002170AC" w:rsidRPr="002170AC" w:rsidRDefault="002170AC" w:rsidP="002170AC">
      <w:pPr>
        <w:widowControl w:val="0"/>
        <w:tabs>
          <w:tab w:val="left" w:pos="1276"/>
        </w:tabs>
        <w:autoSpaceDE w:val="0"/>
        <w:autoSpaceDN w:val="0"/>
        <w:adjustRightInd w:val="0"/>
        <w:ind w:left="108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-</w:t>
      </w:r>
      <w:r w:rsidRPr="002170AC">
        <w:rPr>
          <w:rFonts w:eastAsia="Times New Roman" w:cs="Times New Roman"/>
          <w:szCs w:val="24"/>
          <w:lang w:eastAsia="bg-BG"/>
        </w:rPr>
        <w:tab/>
        <w:t>Стъкло</w:t>
      </w:r>
    </w:p>
    <w:p w:rsidR="002170AC" w:rsidRPr="002170AC" w:rsidRDefault="002170AC" w:rsidP="002170AC">
      <w:pPr>
        <w:widowControl w:val="0"/>
        <w:tabs>
          <w:tab w:val="left" w:pos="1276"/>
        </w:tabs>
        <w:autoSpaceDE w:val="0"/>
        <w:autoSpaceDN w:val="0"/>
        <w:adjustRightInd w:val="0"/>
        <w:ind w:left="108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-  Хранителни отпадъци</w:t>
      </w:r>
    </w:p>
    <w:p w:rsidR="002170AC" w:rsidRPr="002170AC" w:rsidRDefault="002170AC" w:rsidP="002170AC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 Разделно събрани зелени и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биоотпадъци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>, в т.ч.: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Зелени отпадъци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proofErr w:type="spellStart"/>
      <w:r w:rsidRPr="002170AC">
        <w:rPr>
          <w:rFonts w:eastAsia="Times New Roman" w:cs="Times New Roman"/>
          <w:szCs w:val="24"/>
          <w:lang w:eastAsia="bg-BG"/>
        </w:rPr>
        <w:t>Биоотпадъци</w:t>
      </w:r>
      <w:proofErr w:type="spellEnd"/>
    </w:p>
    <w:p w:rsidR="002170AC" w:rsidRPr="002170AC" w:rsidRDefault="002170AC" w:rsidP="002170AC">
      <w:pPr>
        <w:numPr>
          <w:ilvl w:val="0"/>
          <w:numId w:val="2"/>
        </w:numPr>
        <w:tabs>
          <w:tab w:val="left" w:pos="1276"/>
        </w:tabs>
        <w:contextualSpacing/>
        <w:rPr>
          <w:rFonts w:eastAsia="Times New Roman" w:cs="Times New Roman"/>
          <w:szCs w:val="24"/>
        </w:rPr>
      </w:pPr>
      <w:r w:rsidRPr="002170AC">
        <w:rPr>
          <w:rFonts w:eastAsia="Times New Roman" w:cs="Times New Roman"/>
          <w:szCs w:val="24"/>
        </w:rPr>
        <w:lastRenderedPageBreak/>
        <w:t>Други смесени отпадъци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Опасни отпадъци от бита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proofErr w:type="spellStart"/>
      <w:r w:rsidRPr="002170AC">
        <w:rPr>
          <w:rFonts w:eastAsia="Times New Roman" w:cs="Times New Roman"/>
          <w:szCs w:val="24"/>
          <w:lang w:eastAsia="bg-BG"/>
        </w:rPr>
        <w:t>Биоотпадъци</w:t>
      </w:r>
      <w:proofErr w:type="spellEnd"/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Инертни материали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Строителни отпадъци от бита</w:t>
      </w:r>
    </w:p>
    <w:p w:rsidR="002170AC" w:rsidRPr="002170AC" w:rsidRDefault="002170AC" w:rsidP="002170AC">
      <w:pPr>
        <w:widowControl w:val="0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Излязло от употреба електрическо и електронно оборудване</w:t>
      </w:r>
    </w:p>
    <w:p w:rsidR="002170AC" w:rsidRPr="002170AC" w:rsidRDefault="002170AC" w:rsidP="002170AC">
      <w:pPr>
        <w:tabs>
          <w:tab w:val="left" w:pos="1276"/>
        </w:tabs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  </w:t>
      </w:r>
    </w:p>
    <w:p w:rsidR="002170AC" w:rsidRPr="002170AC" w:rsidRDefault="002170AC" w:rsidP="002170AC">
      <w:pPr>
        <w:spacing w:before="120" w:after="120"/>
        <w:ind w:right="-5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>Дейност 2. Извършване на морфологичен анализ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b/>
          <w:szCs w:val="24"/>
          <w:lang w:eastAsia="bg-BG"/>
        </w:rPr>
        <w:t xml:space="preserve">Морфологичният анализ следва да се извърши като се спазват изискванията на Методиката за определяне на морфологичния състав на битовите отпадъци, утвърдена със Заповед № РД-744/29.09.2012 г. на Министъра на околната среда и водите.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При изпълнение на задачата Изпълнителят следва да извърши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пробонабирания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 xml:space="preserve"> от място на съдовете за събиране на отпадъци, респективно съдовете за разделно събиране на отпадъци от опаковки със собствена техника или наета такава.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Обследванията се извършват на площадката на регионално депо Русе. Отпадъците за обработка се събират от контейнерите за събиране на битови отпадъци от съответния тип генератор, както и от съдовете за разделно събиране на отпадъци от опаковки и доставят на регионалното депо от специализирана техника в рамките на организираната система за събиране и транспортиране на битовите отпадъци на община Русе.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 xml:space="preserve">Обекти на изследване: 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i/>
          <w:szCs w:val="24"/>
          <w:lang w:eastAsia="bg-BG"/>
        </w:rPr>
      </w:pPr>
      <w:r w:rsidRPr="002170AC">
        <w:rPr>
          <w:rFonts w:eastAsia="Times New Roman" w:cs="Times New Roman"/>
          <w:i/>
          <w:szCs w:val="24"/>
          <w:lang w:eastAsia="bg-BG"/>
        </w:rPr>
        <w:t>Смесени битови отпадъци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Изпълнителят следва да определи основните генератори на смесени битови отпадъци и да състави план за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пробовземане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>. Следва да бъдат ясно дефинирани потоците отпадъци, както и да бъде представена подробна структура на състава на отпадъците, които ще бъдат изследвани. Препоръчва се дефиниране три до четири типа генератори.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Целта е да бъдат определени основните потоци битови отпадъци, за които се предполага, че имат различен състав в резултат от различни генератори или методи за събиране и също така могат да окажат съществено влияние върху общия състав на отпадъците в общината.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В техническите си предложения кандидатите следва да представят свой план за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пробонабиране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>, в рамките на който като първа стъпка следва да бъде определен вида на различните обекти (типове генератори) за изследване чрез стратифициране  - разделяне на образуващите отпадъци генератори в характерни групи (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страти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 xml:space="preserve">) със сходни показатели, спазвайки принципите, очертани в Методиката за определяне на морфологичния състав на битовите отпадъци, утвърдена със Заповед № РД-744/29.09.2012 г. на Министъра на околната среда и водите. Следва да се опишат обектите на изследване, които кандидатът предлага да бъдат включени в плана за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пробонабиране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>, вземайки предвид вида на отпадъците, описани в настоящото задание.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Във връзка с цитираната методика, Изпълнителят следва да предвиди извършване на минималния брой проби на сезон, определени за категориите населени места в  Методиката за определяне на морфологичния състав на битовите отпадъци, утвърдена със Заповед № РД-744/29.09.2012 г. на Министъра на околната среда и водите.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i/>
          <w:szCs w:val="24"/>
          <w:lang w:eastAsia="bg-BG"/>
        </w:rPr>
      </w:pPr>
      <w:r w:rsidRPr="002170AC">
        <w:rPr>
          <w:rFonts w:eastAsia="Times New Roman" w:cs="Times New Roman"/>
          <w:i/>
          <w:szCs w:val="24"/>
          <w:lang w:eastAsia="bg-BG"/>
        </w:rPr>
        <w:t>Разделно събрани отпадъци от опаковки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lastRenderedPageBreak/>
        <w:t xml:space="preserve">Изпълнителят следва да извърши 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пробонабиране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 xml:space="preserve"> от съществуващата система за разделно събиране на отпадъци от опаковки.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В рамките на задачата следва да бъде осъществена минимум 1 проба на сезон за всеки от видовете контейнери за разделно събиране на отпадъци от опаковки.  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>Фракции, които следва да се отчитат при анализа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При анализа следва да се отчитат следните отпадъчни фракции: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Хранителни отпадъци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Хартия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Картон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Пластмаси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Текстил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Гуми – всички видове продукти от гума с изключение на автомобилни гуми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Кожи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Градински отпадъци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Дърво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Стъкло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Метали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Инертни 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Излязло от употреба електрическо и електронно оборудване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Опасни отпадъци от бита в т.ч.: батерии и акумулатори; абразивни прахове; аерозоли; препарати за почистване на стъкло; белина; препарати за отпушване на тръби; лекарства с изтекъл срок на годност; продукти от автомобили (антифриз, спирачна течност, бензини и др.); разтворители; пестициди; препарати против насекоми; хербициди; торове и др.</w:t>
      </w:r>
    </w:p>
    <w:p w:rsidR="002170AC" w:rsidRPr="002170AC" w:rsidRDefault="002170AC" w:rsidP="002170AC">
      <w:pPr>
        <w:numPr>
          <w:ilvl w:val="0"/>
          <w:numId w:val="1"/>
        </w:numPr>
        <w:ind w:left="709" w:hanging="283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Други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>Обемно тегло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Определя се чрез претегляне на средна проба.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proofErr w:type="spellStart"/>
      <w:r w:rsidRPr="002170AC">
        <w:rPr>
          <w:rFonts w:eastAsia="Times New Roman" w:cs="Times New Roman"/>
          <w:szCs w:val="24"/>
          <w:u w:val="single"/>
          <w:lang w:eastAsia="bg-BG"/>
        </w:rPr>
        <w:t>Гранулометрия</w:t>
      </w:r>
      <w:proofErr w:type="spellEnd"/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Чрез сита отпадъка се разделя на следните фракции:</w:t>
      </w:r>
    </w:p>
    <w:p w:rsidR="002170AC" w:rsidRPr="002170AC" w:rsidRDefault="002170AC" w:rsidP="002170AC">
      <w:pPr>
        <w:numPr>
          <w:ilvl w:val="0"/>
          <w:numId w:val="3"/>
        </w:num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От 0 до 65 мм.</w:t>
      </w:r>
    </w:p>
    <w:p w:rsidR="002170AC" w:rsidRPr="002170AC" w:rsidRDefault="002170AC" w:rsidP="002170AC">
      <w:pPr>
        <w:numPr>
          <w:ilvl w:val="0"/>
          <w:numId w:val="3"/>
        </w:num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От 56 до 150 мм.</w:t>
      </w:r>
    </w:p>
    <w:p w:rsidR="002170AC" w:rsidRPr="002170AC" w:rsidRDefault="002170AC" w:rsidP="002170AC">
      <w:pPr>
        <w:numPr>
          <w:ilvl w:val="0"/>
          <w:numId w:val="3"/>
        </w:numPr>
        <w:tabs>
          <w:tab w:val="left" w:pos="1276"/>
        </w:tabs>
        <w:spacing w:before="120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Над 150 мм.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>Брой проби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b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 xml:space="preserve">Съгласно Таблица 2.1. от Методиката за определяне на морфологичния състав на битовите отпадъци с оглед на образуваните количества отпадъци на година. 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Допълнително кандидатът следва да представи броя проби, които предвижда да извърши за всеки един от обектите за изследване (</w:t>
      </w:r>
      <w:proofErr w:type="spellStart"/>
      <w:r w:rsidRPr="002170AC">
        <w:rPr>
          <w:rFonts w:eastAsia="Times New Roman" w:cs="Times New Roman"/>
          <w:szCs w:val="24"/>
          <w:lang w:eastAsia="bg-BG"/>
        </w:rPr>
        <w:t>страти</w:t>
      </w:r>
      <w:proofErr w:type="spellEnd"/>
      <w:r w:rsidRPr="002170AC">
        <w:rPr>
          <w:rFonts w:eastAsia="Times New Roman" w:cs="Times New Roman"/>
          <w:szCs w:val="24"/>
          <w:lang w:eastAsia="bg-BG"/>
        </w:rPr>
        <w:t>), определени по отношение набирането на информация за смесени битови отпадъци и приравнени към тях производствени отпадъци (в рамките на Дейност 1).</w:t>
      </w:r>
    </w:p>
    <w:p w:rsidR="002170AC" w:rsidRPr="002170AC" w:rsidRDefault="002170AC" w:rsidP="002170AC">
      <w:pPr>
        <w:tabs>
          <w:tab w:val="left" w:pos="1276"/>
        </w:tabs>
        <w:spacing w:before="120"/>
        <w:rPr>
          <w:rFonts w:eastAsia="Times New Roman" w:cs="Times New Roman"/>
          <w:szCs w:val="24"/>
          <w:u w:val="single"/>
          <w:lang w:eastAsia="bg-BG"/>
        </w:rPr>
      </w:pPr>
      <w:r w:rsidRPr="002170AC">
        <w:rPr>
          <w:rFonts w:eastAsia="Times New Roman" w:cs="Times New Roman"/>
          <w:szCs w:val="24"/>
          <w:u w:val="single"/>
          <w:lang w:eastAsia="bg-BG"/>
        </w:rPr>
        <w:t>Допълнителни дейности, предложени от кандидата</w:t>
      </w:r>
    </w:p>
    <w:p w:rsidR="002170AC" w:rsidRPr="002170AC" w:rsidRDefault="002170AC" w:rsidP="002170AC">
      <w:pPr>
        <w:tabs>
          <w:tab w:val="left" w:pos="1276"/>
        </w:tabs>
        <w:spacing w:before="120"/>
        <w:jc w:val="both"/>
        <w:rPr>
          <w:rFonts w:eastAsia="Times New Roman" w:cs="Times New Roman"/>
          <w:szCs w:val="24"/>
          <w:lang w:eastAsia="bg-BG"/>
        </w:rPr>
      </w:pPr>
      <w:r w:rsidRPr="002170AC">
        <w:rPr>
          <w:rFonts w:eastAsia="Times New Roman" w:cs="Times New Roman"/>
          <w:szCs w:val="24"/>
          <w:lang w:eastAsia="bg-BG"/>
        </w:rPr>
        <w:t>Участникът може по своя преценка да дефинира и мотивирано да защити свои предложения за дейности извън цитираната методология, които биха допринесли за изпълнението на целта на задачата</w:t>
      </w:r>
    </w:p>
    <w:p w:rsidR="000A2A49" w:rsidRDefault="000A2A49">
      <w:bookmarkStart w:id="0" w:name="_GoBack"/>
      <w:bookmarkEnd w:id="0"/>
    </w:p>
    <w:sectPr w:rsidR="000A2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1EBD"/>
    <w:multiLevelType w:val="hybridMultilevel"/>
    <w:tmpl w:val="35A2DB8E"/>
    <w:lvl w:ilvl="0" w:tplc="F3185EB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BF6319"/>
    <w:multiLevelType w:val="multilevel"/>
    <w:tmpl w:val="CB12E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FED0079"/>
    <w:multiLevelType w:val="hybridMultilevel"/>
    <w:tmpl w:val="952ADA0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CD24E7"/>
    <w:multiLevelType w:val="hybridMultilevel"/>
    <w:tmpl w:val="F5E4D0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97"/>
    <w:rsid w:val="000A2A49"/>
    <w:rsid w:val="000E3A97"/>
    <w:rsid w:val="0021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8CF1-98C9-4CCE-8951-46F9C15F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5.moew.government.bg/wp-content/uploads/file/Waste/Municipal_Waste/Metodika-201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2017-02-22T12:43:00Z</dcterms:created>
  <dcterms:modified xsi:type="dcterms:W3CDTF">2017-02-22T12:45:00Z</dcterms:modified>
</cp:coreProperties>
</file>